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（2024年度）</w:t>
      </w:r>
    </w:p>
    <w:p>
      <w:pPr>
        <w:spacing w:line="240" w:lineRule="exact"/>
        <w:rPr>
          <w:rFonts w:ascii="仿宋_GB2312" w:hAnsi="宋体" w:eastAsia="仿宋_GB2312"/>
          <w:sz w:val="30"/>
          <w:szCs w:val="30"/>
        </w:rPr>
      </w:pPr>
    </w:p>
    <w:tbl>
      <w:tblPr>
        <w:tblStyle w:val="8"/>
        <w:tblW w:w="9493" w:type="dxa"/>
        <w:jc w:val="center"/>
        <w:tblInd w:w="0" w:type="dxa"/>
        <w:tblLayout w:type="fixed"/>
        <w:tblCellMar>
          <w:top w:w="0" w:type="dxa"/>
          <w:left w:w="108" w:type="dxa"/>
          <w:bottom w:w="0" w:type="dxa"/>
          <w:right w:w="108" w:type="dxa"/>
        </w:tblCellMar>
      </w:tblPr>
      <w:tblGrid>
        <w:gridCol w:w="585"/>
        <w:gridCol w:w="975"/>
        <w:gridCol w:w="1105"/>
        <w:gridCol w:w="727"/>
        <w:gridCol w:w="1127"/>
        <w:gridCol w:w="283"/>
        <w:gridCol w:w="849"/>
        <w:gridCol w:w="1127"/>
        <w:gridCol w:w="21"/>
        <w:gridCol w:w="567"/>
        <w:gridCol w:w="279"/>
        <w:gridCol w:w="288"/>
        <w:gridCol w:w="558"/>
        <w:gridCol w:w="1002"/>
      </w:tblGrid>
      <w:tr>
        <w:tblPrEx>
          <w:tblLayout w:type="fixed"/>
          <w:tblCellMar>
            <w:top w:w="0" w:type="dxa"/>
            <w:left w:w="108" w:type="dxa"/>
            <w:bottom w:w="0" w:type="dxa"/>
            <w:right w:w="108" w:type="dxa"/>
          </w:tblCellMar>
        </w:tblPrEx>
        <w:trPr>
          <w:trHeight w:val="512"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933"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11000024T000002490693-北京市发展和改革委员会政务影像宣传服务和营商环境信息监测项目</w:t>
            </w:r>
          </w:p>
        </w:tc>
      </w:tr>
      <w:tr>
        <w:tblPrEx>
          <w:tblLayout w:type="fixed"/>
          <w:tblCellMar>
            <w:top w:w="0" w:type="dxa"/>
            <w:left w:w="108" w:type="dxa"/>
            <w:bottom w:w="0" w:type="dxa"/>
            <w:right w:w="108" w:type="dxa"/>
          </w:tblCellMar>
        </w:tblPrEx>
        <w:trPr>
          <w:trHeight w:val="562"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北京市发展和改革委员会</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71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北京市经济信息中心</w:t>
            </w:r>
          </w:p>
        </w:tc>
      </w:tr>
      <w:tr>
        <w:tblPrEx>
          <w:tblLayout w:type="fixed"/>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867" w:type="dxa"/>
            <w:gridSpan w:val="3"/>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1002"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Layout w:type="fixed"/>
          <w:tblCellMar>
            <w:top w:w="0" w:type="dxa"/>
            <w:left w:w="108" w:type="dxa"/>
            <w:bottom w:w="0" w:type="dxa"/>
            <w:right w:w="108" w:type="dxa"/>
          </w:tblCellMar>
        </w:tblPrEx>
        <w:trPr>
          <w:trHeight w:val="575"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237.625</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237.625</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237.575</w:t>
            </w:r>
          </w:p>
        </w:tc>
        <w:tc>
          <w:tcPr>
            <w:tcW w:w="867" w:type="dxa"/>
            <w:gridSpan w:val="3"/>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r>
              <w:rPr>
                <w:rFonts w:ascii="仿宋_GB2312" w:hAnsi="宋体" w:eastAsia="仿宋_GB2312" w:cs="宋体"/>
                <w:kern w:val="0"/>
                <w:szCs w:val="21"/>
              </w:rPr>
              <w:t>9.98%</w:t>
            </w:r>
          </w:p>
        </w:tc>
        <w:tc>
          <w:tcPr>
            <w:tcW w:w="1002"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r>
      <w:tr>
        <w:tblPrEx>
          <w:tblLayout w:type="fixed"/>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237.625</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237.625</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237.575</w:t>
            </w:r>
          </w:p>
        </w:tc>
        <w:tc>
          <w:tcPr>
            <w:tcW w:w="867" w:type="dxa"/>
            <w:gridSpan w:val="3"/>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99.98%</w:t>
            </w:r>
          </w:p>
        </w:tc>
        <w:tc>
          <w:tcPr>
            <w:tcW w:w="1002"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67" w:type="dxa"/>
            <w:gridSpan w:val="3"/>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02"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543"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67" w:type="dxa"/>
            <w:gridSpan w:val="3"/>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02"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84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Layout w:type="fixed"/>
          <w:tblCellMar>
            <w:top w:w="0" w:type="dxa"/>
            <w:left w:w="108" w:type="dxa"/>
            <w:bottom w:w="0" w:type="dxa"/>
            <w:right w:w="108" w:type="dxa"/>
          </w:tblCellMar>
        </w:tblPrEx>
        <w:trPr>
          <w:trHeight w:val="3841"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保障</w:t>
            </w:r>
            <w:r>
              <w:rPr>
                <w:rFonts w:hint="eastAsia" w:ascii="仿宋_GB2312" w:hAnsi="宋体" w:eastAsia="仿宋_GB2312" w:cs="宋体"/>
                <w:kern w:val="0"/>
                <w:szCs w:val="21"/>
                <w:lang w:val="en-US" w:eastAsia="zh-CN"/>
              </w:rPr>
              <w:t>系统</w:t>
            </w:r>
            <w:r>
              <w:rPr>
                <w:rFonts w:hint="eastAsia" w:ascii="仿宋_GB2312" w:hAnsi="宋体" w:eastAsia="仿宋_GB2312" w:cs="宋体"/>
                <w:kern w:val="0"/>
                <w:szCs w:val="21"/>
              </w:rPr>
              <w:t>安全平稳运行；配合提供媒体新闻素材；监测本市优化营商环境相关信息。</w:t>
            </w:r>
          </w:p>
        </w:tc>
        <w:tc>
          <w:tcPr>
            <w:tcW w:w="3842" w:type="dxa"/>
            <w:gridSpan w:val="7"/>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left"/>
              <w:rPr>
                <w:rFonts w:ascii="仿宋_GB2312" w:hAnsi="宋体" w:eastAsia="仿宋_GB2312" w:cs="宋体"/>
                <w:kern w:val="0"/>
                <w:szCs w:val="21"/>
              </w:rPr>
            </w:pPr>
            <w:r>
              <w:rPr>
                <w:rFonts w:ascii="仿宋_GB2312" w:hAnsi="宋体" w:eastAsia="仿宋_GB2312" w:cs="宋体"/>
                <w:kern w:val="0"/>
                <w:szCs w:val="21"/>
              </w:rPr>
              <w:t>完</w:t>
            </w:r>
            <w:r>
              <w:rPr>
                <w:rFonts w:hint="eastAsia" w:ascii="仿宋_GB2312" w:hAnsi="宋体" w:eastAsia="仿宋_GB2312" w:cs="宋体"/>
                <w:kern w:val="0"/>
                <w:szCs w:val="21"/>
                <w:lang w:val="en-US" w:eastAsia="zh-CN"/>
              </w:rPr>
              <w:t>成</w:t>
            </w:r>
            <w:r>
              <w:rPr>
                <w:rFonts w:hint="eastAsia" w:ascii="仿宋_GB2312" w:hAnsi="宋体" w:eastAsia="仿宋_GB2312" w:cs="宋体"/>
                <w:kern w:val="0"/>
                <w:szCs w:val="21"/>
              </w:rPr>
              <w:t>运维服务工作</w:t>
            </w:r>
            <w:r>
              <w:rPr>
                <w:rFonts w:hint="eastAsia" w:ascii="仿宋_GB2312" w:hAnsi="宋体" w:eastAsia="仿宋_GB2312" w:cs="宋体"/>
                <w:kern w:val="0"/>
                <w:szCs w:val="21"/>
                <w:lang w:eastAsia="zh-CN"/>
              </w:rPr>
              <w:t>，</w:t>
            </w:r>
            <w:r>
              <w:rPr>
                <w:rFonts w:hint="eastAsia" w:ascii="仿宋_GB2312" w:hAnsi="宋体" w:eastAsia="仿宋_GB2312" w:cs="宋体"/>
                <w:kern w:val="0"/>
                <w:szCs w:val="21"/>
                <w:lang w:val="en-US" w:eastAsia="zh-CN"/>
              </w:rPr>
              <w:t>系统安全平稳运行；</w:t>
            </w:r>
            <w:r>
              <w:rPr>
                <w:rFonts w:hint="eastAsia" w:ascii="仿宋_GB2312" w:hAnsi="宋体" w:eastAsia="仿宋_GB2312" w:cs="宋体"/>
                <w:kern w:val="0"/>
                <w:szCs w:val="21"/>
              </w:rPr>
              <w:t>配合提供媒体新闻素材；梳理惠企政策，监测本市优化营商环境相关</w:t>
            </w:r>
            <w:bookmarkStart w:id="9" w:name="_GoBack"/>
            <w:bookmarkEnd w:id="9"/>
            <w:r>
              <w:rPr>
                <w:rFonts w:hint="eastAsia" w:ascii="仿宋_GB2312" w:hAnsi="宋体" w:eastAsia="仿宋_GB2312" w:cs="宋体"/>
                <w:kern w:val="0"/>
                <w:szCs w:val="21"/>
              </w:rPr>
              <w:t>信息。</w:t>
            </w:r>
          </w:p>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114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5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bookmarkStart w:id="0" w:name="OLE_LINK1"/>
            <w:bookmarkStart w:id="1" w:name="OLE_LINK2"/>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bookmarkEnd w:id="0"/>
            <w:bookmarkEnd w:id="1"/>
          </w:p>
        </w:tc>
      </w:tr>
      <w:tr>
        <w:tblPrEx>
          <w:tblLayout w:type="fixed"/>
          <w:tblCellMar>
            <w:top w:w="0" w:type="dxa"/>
            <w:left w:w="108" w:type="dxa"/>
            <w:bottom w:w="0" w:type="dxa"/>
            <w:right w:w="108" w:type="dxa"/>
          </w:tblCellMar>
        </w:tblPrEx>
        <w:trPr>
          <w:trHeight w:val="609"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single" w:color="C2C3C4"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政务影像素材库内容维护</w:t>
            </w:r>
          </w:p>
        </w:tc>
        <w:tc>
          <w:tcPr>
            <w:tcW w:w="8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2</w:t>
            </w:r>
            <w:r>
              <w:rPr>
                <w:rFonts w:hint="eastAsia" w:ascii="仿宋_GB2312" w:hAnsi="宋体" w:eastAsia="仿宋_GB2312" w:cs="宋体"/>
                <w:kern w:val="0"/>
                <w:szCs w:val="21"/>
              </w:rPr>
              <w:t>个</w:t>
            </w:r>
            <w:r>
              <w:rPr>
                <w:rFonts w:ascii="仿宋_GB2312" w:hAnsi="宋体" w:eastAsia="仿宋_GB2312" w:cs="宋体"/>
                <w:kern w:val="0"/>
                <w:szCs w:val="21"/>
              </w:rPr>
              <w:t>月</w:t>
            </w:r>
          </w:p>
        </w:tc>
        <w:tc>
          <w:tcPr>
            <w:tcW w:w="114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2</w:t>
            </w:r>
            <w:r>
              <w:rPr>
                <w:rFonts w:hint="eastAsia" w:ascii="仿宋_GB2312" w:hAnsi="宋体" w:eastAsia="仿宋_GB2312" w:cs="宋体"/>
                <w:kern w:val="0"/>
                <w:szCs w:val="21"/>
              </w:rPr>
              <w:t>个</w:t>
            </w:r>
            <w:r>
              <w:rPr>
                <w:rFonts w:ascii="仿宋_GB2312" w:hAnsi="宋体" w:eastAsia="仿宋_GB2312" w:cs="宋体"/>
                <w:kern w:val="0"/>
                <w:szCs w:val="21"/>
              </w:rPr>
              <w:t>月</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5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689"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single" w:color="C2C3C4"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营商环境信息监测</w:t>
            </w:r>
          </w:p>
        </w:tc>
        <w:tc>
          <w:tcPr>
            <w:tcW w:w="8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=12个月</w:t>
            </w:r>
          </w:p>
        </w:tc>
        <w:tc>
          <w:tcPr>
            <w:tcW w:w="114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2</w:t>
            </w:r>
            <w:r>
              <w:rPr>
                <w:rFonts w:hint="eastAsia" w:ascii="仿宋_GB2312" w:hAnsi="宋体" w:eastAsia="仿宋_GB2312" w:cs="宋体"/>
                <w:kern w:val="0"/>
                <w:szCs w:val="21"/>
              </w:rPr>
              <w:t>个</w:t>
            </w:r>
            <w:r>
              <w:rPr>
                <w:rFonts w:ascii="仿宋_GB2312" w:hAnsi="宋体" w:eastAsia="仿宋_GB2312" w:cs="宋体"/>
                <w:kern w:val="0"/>
                <w:szCs w:val="21"/>
              </w:rPr>
              <w:t>月</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5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55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single" w:color="C2C3C4"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政务影像宣传摄像服务</w:t>
            </w:r>
          </w:p>
        </w:tc>
        <w:tc>
          <w:tcPr>
            <w:tcW w:w="8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≥130人次</w:t>
            </w:r>
          </w:p>
        </w:tc>
        <w:tc>
          <w:tcPr>
            <w:tcW w:w="114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197人次</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5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171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single" w:color="C2C3C4"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按要求完成营商环境信息监测</w:t>
            </w:r>
          </w:p>
        </w:tc>
        <w:tc>
          <w:tcPr>
            <w:tcW w:w="8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定性-优</w:t>
            </w:r>
          </w:p>
        </w:tc>
        <w:tc>
          <w:tcPr>
            <w:tcW w:w="114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bookmarkStart w:id="2" w:name="OLE_LINK5"/>
            <w:r>
              <w:rPr>
                <w:rFonts w:hint="eastAsia" w:ascii="仿宋_GB2312" w:hAnsi="宋体" w:eastAsia="仿宋_GB2312" w:cs="宋体"/>
                <w:kern w:val="0"/>
                <w:szCs w:val="21"/>
              </w:rPr>
              <w:t>优，全年按要求完成信息监测工作，每日每月提报信息准时</w:t>
            </w:r>
            <w:bookmarkEnd w:id="2"/>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5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59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bookmarkStart w:id="3" w:name="_Hlk196076348"/>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single" w:color="C2C3C4"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保证政务影像素材库全年平稳运行率</w:t>
            </w:r>
          </w:p>
        </w:tc>
        <w:tc>
          <w:tcPr>
            <w:tcW w:w="8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≥95%</w:t>
            </w:r>
          </w:p>
        </w:tc>
        <w:tc>
          <w:tcPr>
            <w:tcW w:w="114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未发生故障</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5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bookmarkEnd w:id="3"/>
      <w:tr>
        <w:tblPrEx>
          <w:tblLayout w:type="fixed"/>
          <w:tblCellMar>
            <w:top w:w="0" w:type="dxa"/>
            <w:left w:w="108" w:type="dxa"/>
            <w:bottom w:w="0" w:type="dxa"/>
            <w:right w:w="108" w:type="dxa"/>
          </w:tblCellMar>
        </w:tblPrEx>
        <w:trPr>
          <w:trHeight w:val="154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政务影像宣传服务</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定性-优</w:t>
            </w:r>
          </w:p>
        </w:tc>
        <w:tc>
          <w:tcPr>
            <w:tcW w:w="114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bookmarkStart w:id="4" w:name="_Hlk196076366"/>
            <w:r>
              <w:rPr>
                <w:rFonts w:hint="eastAsia" w:ascii="仿宋_GB2312" w:hAnsi="宋体" w:eastAsia="仿宋_GB2312" w:cs="宋体"/>
                <w:kern w:val="0"/>
                <w:szCs w:val="21"/>
              </w:rPr>
              <w:t>优</w:t>
            </w:r>
            <w:r>
              <w:rPr>
                <w:rFonts w:ascii="仿宋_GB2312" w:hAnsi="宋体" w:eastAsia="仿宋_GB2312" w:cs="宋体"/>
                <w:kern w:val="0"/>
                <w:szCs w:val="21"/>
              </w:rPr>
              <w:t>，</w:t>
            </w:r>
            <w:r>
              <w:rPr>
                <w:rFonts w:hint="eastAsia" w:ascii="仿宋_GB2312" w:hAnsi="宋体" w:eastAsia="仿宋_GB2312" w:cs="宋体"/>
                <w:kern w:val="0"/>
                <w:szCs w:val="21"/>
              </w:rPr>
              <w:t>全年按要求完成全部宣传服务工作</w:t>
            </w:r>
            <w:bookmarkEnd w:id="4"/>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5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99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服务进度满6个月（2024年10月），做好服务工作的中期工作总结</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≥50%</w:t>
            </w:r>
          </w:p>
        </w:tc>
        <w:tc>
          <w:tcPr>
            <w:tcW w:w="114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5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89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2024年4月服务期满后，做好服务工作的最终工作总结</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114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5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234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提供优质高效服务</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定性-优</w:t>
            </w:r>
          </w:p>
        </w:tc>
        <w:tc>
          <w:tcPr>
            <w:tcW w:w="114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bookmarkStart w:id="5" w:name="OLE_LINK4"/>
            <w:bookmarkStart w:id="6" w:name="OLE_LINK3"/>
            <w:r>
              <w:rPr>
                <w:rFonts w:hint="eastAsia" w:ascii="仿宋_GB2312" w:hAnsi="宋体" w:eastAsia="仿宋_GB2312" w:cs="宋体"/>
                <w:kern w:val="0"/>
                <w:szCs w:val="21"/>
              </w:rPr>
              <w:t>优</w:t>
            </w:r>
            <w:r>
              <w:rPr>
                <w:rFonts w:ascii="仿宋_GB2312" w:hAnsi="宋体" w:eastAsia="仿宋_GB2312" w:cs="宋体"/>
                <w:kern w:val="0"/>
                <w:szCs w:val="21"/>
              </w:rPr>
              <w:t>，提供了及时高效的</w:t>
            </w:r>
            <w:r>
              <w:rPr>
                <w:rFonts w:hint="eastAsia" w:ascii="仿宋_GB2312" w:hAnsi="宋体" w:eastAsia="仿宋_GB2312" w:cs="宋体"/>
                <w:kern w:val="0"/>
                <w:szCs w:val="21"/>
              </w:rPr>
              <w:t>服务</w:t>
            </w:r>
            <w:r>
              <w:rPr>
                <w:rFonts w:ascii="仿宋_GB2312" w:hAnsi="宋体" w:eastAsia="仿宋_GB2312" w:cs="宋体"/>
                <w:kern w:val="0"/>
                <w:szCs w:val="21"/>
              </w:rPr>
              <w:t>，为</w:t>
            </w:r>
            <w:r>
              <w:rPr>
                <w:rFonts w:hint="eastAsia" w:ascii="仿宋_GB2312" w:hAnsi="宋体" w:eastAsia="仿宋_GB2312" w:cs="宋体"/>
                <w:kern w:val="0"/>
                <w:szCs w:val="21"/>
                <w:lang w:eastAsia="zh-CN"/>
              </w:rPr>
              <w:t>科学</w:t>
            </w:r>
            <w:r>
              <w:rPr>
                <w:rFonts w:ascii="仿宋_GB2312" w:hAnsi="宋体" w:eastAsia="仿宋_GB2312" w:cs="宋体"/>
                <w:kern w:val="0"/>
                <w:szCs w:val="21"/>
              </w:rPr>
              <w:t>决策提供参考。</w:t>
            </w:r>
            <w:bookmarkEnd w:id="5"/>
            <w:bookmarkEnd w:id="6"/>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4</w:t>
            </w:r>
          </w:p>
        </w:tc>
        <w:tc>
          <w:tcPr>
            <w:tcW w:w="156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bookmarkStart w:id="7" w:name="_Hlk196076866"/>
            <w:r>
              <w:rPr>
                <w:rFonts w:hint="eastAsia" w:ascii="仿宋_GB2312" w:hAnsi="宋体" w:eastAsia="仿宋_GB2312" w:cs="宋体"/>
                <w:kern w:val="0"/>
                <w:szCs w:val="21"/>
                <w:lang w:val="en-US" w:eastAsia="zh-CN"/>
              </w:rPr>
              <w:t>进一步</w:t>
            </w:r>
            <w:r>
              <w:rPr>
                <w:rFonts w:ascii="仿宋_GB2312" w:hAnsi="宋体" w:eastAsia="仿宋_GB2312" w:cs="宋体"/>
                <w:kern w:val="0"/>
                <w:szCs w:val="21"/>
              </w:rPr>
              <w:t>提高分析能力</w:t>
            </w:r>
            <w:bookmarkEnd w:id="7"/>
          </w:p>
        </w:tc>
      </w:tr>
      <w:tr>
        <w:tblPrEx>
          <w:tblLayout w:type="fixed"/>
          <w:tblCellMar>
            <w:top w:w="0" w:type="dxa"/>
            <w:left w:w="108" w:type="dxa"/>
            <w:bottom w:w="0" w:type="dxa"/>
            <w:right w:w="108" w:type="dxa"/>
          </w:tblCellMar>
        </w:tblPrEx>
        <w:trPr>
          <w:trHeight w:val="168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可持续影响指标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持续积累素材，做好服务保障</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定性-优</w:t>
            </w:r>
          </w:p>
        </w:tc>
        <w:tc>
          <w:tcPr>
            <w:tcW w:w="114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bookmarkStart w:id="8" w:name="_Hlk196077021"/>
            <w:r>
              <w:rPr>
                <w:rFonts w:hint="eastAsia" w:ascii="仿宋_GB2312" w:hAnsi="宋体" w:eastAsia="仿宋_GB2312" w:cs="宋体"/>
                <w:kern w:val="0"/>
                <w:szCs w:val="21"/>
              </w:rPr>
              <w:t>优，</w:t>
            </w:r>
            <w:r>
              <w:rPr>
                <w:rFonts w:hint="eastAsia" w:ascii="仿宋_GB2312" w:hAnsi="宋体" w:eastAsia="仿宋_GB2312" w:cs="宋体"/>
                <w:kern w:val="0"/>
                <w:szCs w:val="21"/>
                <w:lang w:val="en-US" w:eastAsia="zh-CN"/>
              </w:rPr>
              <w:t>提供了优质的服务</w:t>
            </w:r>
            <w:r>
              <w:rPr>
                <w:rFonts w:hint="eastAsia" w:ascii="仿宋_GB2312" w:hAnsi="宋体" w:eastAsia="仿宋_GB2312" w:cs="宋体"/>
                <w:kern w:val="0"/>
                <w:szCs w:val="21"/>
              </w:rPr>
              <w:t>保障</w:t>
            </w:r>
            <w:r>
              <w:rPr>
                <w:rFonts w:ascii="仿宋_GB2312" w:hAnsi="宋体" w:eastAsia="仿宋_GB2312" w:cs="宋体"/>
                <w:kern w:val="0"/>
                <w:szCs w:val="21"/>
              </w:rPr>
              <w:t>。</w:t>
            </w:r>
            <w:bookmarkEnd w:id="8"/>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3</w:t>
            </w:r>
          </w:p>
        </w:tc>
        <w:tc>
          <w:tcPr>
            <w:tcW w:w="15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素材质量</w:t>
            </w:r>
            <w:r>
              <w:rPr>
                <w:rFonts w:hint="eastAsia" w:ascii="仿宋_GB2312" w:hAnsi="宋体" w:eastAsia="仿宋_GB2312" w:cs="宋体"/>
                <w:kern w:val="0"/>
                <w:szCs w:val="21"/>
                <w:lang w:eastAsia="zh-CN"/>
              </w:rPr>
              <w:t>和</w:t>
            </w:r>
            <w:r>
              <w:rPr>
                <w:rFonts w:hint="eastAsia" w:ascii="仿宋_GB2312" w:hAnsi="宋体" w:eastAsia="仿宋_GB2312" w:cs="宋体"/>
                <w:kern w:val="0"/>
                <w:szCs w:val="21"/>
              </w:rPr>
              <w:t>素材</w:t>
            </w:r>
            <w:r>
              <w:rPr>
                <w:rFonts w:ascii="仿宋_GB2312" w:hAnsi="宋体" w:eastAsia="仿宋_GB2312" w:cs="宋体"/>
                <w:kern w:val="0"/>
                <w:szCs w:val="21"/>
              </w:rPr>
              <w:t>选取的</w:t>
            </w:r>
            <w:r>
              <w:rPr>
                <w:rFonts w:hint="eastAsia" w:ascii="仿宋_GB2312" w:hAnsi="宋体" w:eastAsia="仿宋_GB2312" w:cs="宋体"/>
                <w:kern w:val="0"/>
                <w:szCs w:val="21"/>
              </w:rPr>
              <w:t>准确性</w:t>
            </w:r>
            <w:r>
              <w:rPr>
                <w:rFonts w:ascii="仿宋_GB2312" w:hAnsi="宋体" w:eastAsia="仿宋_GB2312" w:cs="宋体"/>
                <w:kern w:val="0"/>
                <w:szCs w:val="21"/>
              </w:rPr>
              <w:t>还需进一步提高</w:t>
            </w:r>
          </w:p>
        </w:tc>
      </w:tr>
      <w:tr>
        <w:tblPrEx>
          <w:tblLayout w:type="fixed"/>
          <w:tblCellMar>
            <w:top w:w="0" w:type="dxa"/>
            <w:left w:w="108" w:type="dxa"/>
            <w:bottom w:w="0" w:type="dxa"/>
            <w:right w:w="108" w:type="dxa"/>
          </w:tblCellMar>
        </w:tblPrEx>
        <w:trPr>
          <w:trHeight w:val="183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用户满意度</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定性-优</w:t>
            </w:r>
          </w:p>
        </w:tc>
        <w:tc>
          <w:tcPr>
            <w:tcW w:w="114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对服务频率</w:t>
            </w:r>
            <w:r>
              <w:rPr>
                <w:rFonts w:hint="eastAsia" w:ascii="仿宋_GB2312" w:hAnsi="宋体" w:eastAsia="仿宋_GB2312" w:cs="宋体"/>
                <w:kern w:val="0"/>
                <w:szCs w:val="21"/>
                <w:lang w:val="en-US" w:eastAsia="zh-CN"/>
              </w:rPr>
              <w:t>较</w:t>
            </w:r>
            <w:r>
              <w:rPr>
                <w:rFonts w:hint="eastAsia" w:ascii="仿宋_GB2312" w:hAnsi="宋体" w:eastAsia="仿宋_GB2312" w:cs="宋体"/>
                <w:kern w:val="0"/>
                <w:szCs w:val="21"/>
              </w:rPr>
              <w:t>高</w:t>
            </w:r>
            <w:r>
              <w:rPr>
                <w:rFonts w:ascii="仿宋_GB2312" w:hAnsi="宋体" w:eastAsia="仿宋_GB2312" w:cs="宋体"/>
                <w:kern w:val="0"/>
                <w:szCs w:val="21"/>
              </w:rPr>
              <w:t>的</w:t>
            </w:r>
            <w:r>
              <w:rPr>
                <w:rFonts w:hint="eastAsia" w:ascii="仿宋_GB2312" w:hAnsi="宋体" w:eastAsia="仿宋_GB2312" w:cs="宋体"/>
                <w:kern w:val="0"/>
                <w:szCs w:val="21"/>
                <w:lang w:val="en-US" w:eastAsia="zh-CN"/>
              </w:rPr>
              <w:t>对象</w:t>
            </w:r>
            <w:r>
              <w:rPr>
                <w:rFonts w:ascii="仿宋_GB2312" w:hAnsi="宋体" w:eastAsia="仿宋_GB2312" w:cs="宋体"/>
                <w:kern w:val="0"/>
                <w:szCs w:val="21"/>
              </w:rPr>
              <w:t>做了满意度调查</w:t>
            </w:r>
            <w:r>
              <w:rPr>
                <w:rFonts w:hint="eastAsia" w:ascii="仿宋_GB2312" w:hAnsi="宋体" w:eastAsia="仿宋_GB2312" w:cs="宋体"/>
                <w:kern w:val="0"/>
                <w:szCs w:val="21"/>
              </w:rPr>
              <w:t>全部</w:t>
            </w:r>
            <w:r>
              <w:rPr>
                <w:rFonts w:ascii="仿宋_GB2312" w:hAnsi="宋体" w:eastAsia="仿宋_GB2312" w:cs="宋体"/>
                <w:kern w:val="0"/>
                <w:szCs w:val="21"/>
              </w:rPr>
              <w:t>为</w:t>
            </w:r>
            <w:r>
              <w:rPr>
                <w:rFonts w:hint="eastAsia" w:ascii="仿宋_GB2312" w:hAnsi="宋体" w:eastAsia="仿宋_GB2312" w:cs="宋体"/>
                <w:kern w:val="0"/>
                <w:szCs w:val="21"/>
              </w:rPr>
              <w:t>“满意”</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15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477" w:hRule="exact"/>
          <w:jc w:val="center"/>
        </w:trPr>
        <w:tc>
          <w:tcPr>
            <w:tcW w:w="6799" w:type="dxa"/>
            <w:gridSpan w:val="9"/>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97</w:t>
            </w:r>
          </w:p>
        </w:tc>
        <w:tc>
          <w:tcPr>
            <w:tcW w:w="15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rPr>
          <w:rFonts w:asciiTheme="minorEastAsia" w:hAnsiTheme="minorEastAsia" w:eastAsiaTheme="minorEastAsia"/>
          <w:sz w:val="28"/>
          <w:szCs w:val="28"/>
        </w:rPr>
      </w:pPr>
    </w:p>
    <w:sectPr>
      <w:footerReference r:id="rId3" w:type="default"/>
      <w:pgSz w:w="11906" w:h="16838"/>
      <w:pgMar w:top="1871" w:right="1474" w:bottom="1418" w:left="153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9388834"/>
    </w:sdtPr>
    <w:sdtContent>
      <w:p>
        <w:pPr>
          <w:pStyle w:val="5"/>
          <w:jc w:val="center"/>
        </w:pPr>
        <w:r>
          <w:fldChar w:fldCharType="begin"/>
        </w:r>
        <w:r>
          <w:instrText xml:space="preserve">PAGE   \* MERGEFORMAT</w:instrText>
        </w:r>
        <w:r>
          <w:fldChar w:fldCharType="separate"/>
        </w:r>
        <w:r>
          <w:rPr>
            <w:lang w:val="zh-CN"/>
          </w:rPr>
          <w:t>-</w:t>
        </w:r>
        <w:r>
          <w:t xml:space="preserve"> 2 -</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F77F09F4"/>
    <w:rsid w:val="000138B7"/>
    <w:rsid w:val="00043CA1"/>
    <w:rsid w:val="000739F9"/>
    <w:rsid w:val="001304A7"/>
    <w:rsid w:val="00136626"/>
    <w:rsid w:val="00146EC8"/>
    <w:rsid w:val="00192E91"/>
    <w:rsid w:val="001979AC"/>
    <w:rsid w:val="001E3619"/>
    <w:rsid w:val="00210076"/>
    <w:rsid w:val="0021026A"/>
    <w:rsid w:val="00217E5F"/>
    <w:rsid w:val="002318D3"/>
    <w:rsid w:val="00252AE1"/>
    <w:rsid w:val="002640B1"/>
    <w:rsid w:val="002C6C1B"/>
    <w:rsid w:val="002E247B"/>
    <w:rsid w:val="00320C4E"/>
    <w:rsid w:val="003543E3"/>
    <w:rsid w:val="003A5C9D"/>
    <w:rsid w:val="003B0389"/>
    <w:rsid w:val="003C1D76"/>
    <w:rsid w:val="003C6C50"/>
    <w:rsid w:val="003E7A11"/>
    <w:rsid w:val="00423202"/>
    <w:rsid w:val="0044451C"/>
    <w:rsid w:val="00447625"/>
    <w:rsid w:val="00481436"/>
    <w:rsid w:val="004A4193"/>
    <w:rsid w:val="004A6902"/>
    <w:rsid w:val="004B383A"/>
    <w:rsid w:val="004D12D4"/>
    <w:rsid w:val="00551633"/>
    <w:rsid w:val="005839C0"/>
    <w:rsid w:val="005A3629"/>
    <w:rsid w:val="005C3F2D"/>
    <w:rsid w:val="005F48B1"/>
    <w:rsid w:val="00606593"/>
    <w:rsid w:val="00620CD3"/>
    <w:rsid w:val="00656F9F"/>
    <w:rsid w:val="006653F7"/>
    <w:rsid w:val="006806D2"/>
    <w:rsid w:val="006823A1"/>
    <w:rsid w:val="00697A06"/>
    <w:rsid w:val="006B528B"/>
    <w:rsid w:val="006B6FFB"/>
    <w:rsid w:val="006D0F22"/>
    <w:rsid w:val="0075738F"/>
    <w:rsid w:val="00766D60"/>
    <w:rsid w:val="00786EE2"/>
    <w:rsid w:val="00791189"/>
    <w:rsid w:val="00793F9F"/>
    <w:rsid w:val="007C31BC"/>
    <w:rsid w:val="007C4300"/>
    <w:rsid w:val="007D081C"/>
    <w:rsid w:val="00805CC9"/>
    <w:rsid w:val="00812FD2"/>
    <w:rsid w:val="00816DD9"/>
    <w:rsid w:val="0082210C"/>
    <w:rsid w:val="00841951"/>
    <w:rsid w:val="0084767C"/>
    <w:rsid w:val="00854F21"/>
    <w:rsid w:val="00894EA7"/>
    <w:rsid w:val="008A50A5"/>
    <w:rsid w:val="008B4620"/>
    <w:rsid w:val="008E3BCA"/>
    <w:rsid w:val="0094401B"/>
    <w:rsid w:val="00991786"/>
    <w:rsid w:val="009C0BB9"/>
    <w:rsid w:val="009D509E"/>
    <w:rsid w:val="009F1F7C"/>
    <w:rsid w:val="00A1630B"/>
    <w:rsid w:val="00A16B95"/>
    <w:rsid w:val="00A17A7C"/>
    <w:rsid w:val="00A20237"/>
    <w:rsid w:val="00A209EC"/>
    <w:rsid w:val="00A23A2F"/>
    <w:rsid w:val="00A25760"/>
    <w:rsid w:val="00A6382D"/>
    <w:rsid w:val="00A666B0"/>
    <w:rsid w:val="00A76A08"/>
    <w:rsid w:val="00A9390C"/>
    <w:rsid w:val="00AA2222"/>
    <w:rsid w:val="00AC0388"/>
    <w:rsid w:val="00B061E3"/>
    <w:rsid w:val="00B241B4"/>
    <w:rsid w:val="00B62A57"/>
    <w:rsid w:val="00B82407"/>
    <w:rsid w:val="00B8314A"/>
    <w:rsid w:val="00C44E1B"/>
    <w:rsid w:val="00C608FD"/>
    <w:rsid w:val="00C85867"/>
    <w:rsid w:val="00CA3449"/>
    <w:rsid w:val="00CF0AC9"/>
    <w:rsid w:val="00D42628"/>
    <w:rsid w:val="00D940B6"/>
    <w:rsid w:val="00D97B89"/>
    <w:rsid w:val="00E41355"/>
    <w:rsid w:val="00E52108"/>
    <w:rsid w:val="00E525DE"/>
    <w:rsid w:val="00E86E4A"/>
    <w:rsid w:val="00E90FD6"/>
    <w:rsid w:val="00EC4A53"/>
    <w:rsid w:val="00EF3967"/>
    <w:rsid w:val="00EF63CE"/>
    <w:rsid w:val="00F131DA"/>
    <w:rsid w:val="00F22500"/>
    <w:rsid w:val="00F53D14"/>
    <w:rsid w:val="00F709EF"/>
    <w:rsid w:val="24E404F9"/>
    <w:rsid w:val="32326207"/>
    <w:rsid w:val="365B4B65"/>
    <w:rsid w:val="37173543"/>
    <w:rsid w:val="3FF76880"/>
    <w:rsid w:val="4F1240C1"/>
    <w:rsid w:val="54E40B0B"/>
    <w:rsid w:val="5D2852AE"/>
    <w:rsid w:val="6EC6456A"/>
    <w:rsid w:val="70ED2C41"/>
    <w:rsid w:val="7AB7FF50"/>
    <w:rsid w:val="7B772F79"/>
    <w:rsid w:val="7BFEB0DB"/>
    <w:rsid w:val="CEFD3F3D"/>
    <w:rsid w:val="EA3F77F2"/>
    <w:rsid w:val="EEFE5989"/>
    <w:rsid w:val="EFCF3EAE"/>
    <w:rsid w:val="F5B764A2"/>
    <w:rsid w:val="F77F09F4"/>
    <w:rsid w:val="FFD7BFFC"/>
    <w:rsid w:val="FFFA6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Balloon Text"/>
    <w:basedOn w:val="1"/>
    <w:link w:val="12"/>
    <w:semiHidden/>
    <w:unhideWhenUsed/>
    <w:qFormat/>
    <w:uiPriority w:val="0"/>
    <w:rPr>
      <w:sz w:val="18"/>
      <w:szCs w:val="18"/>
    </w:rPr>
  </w:style>
  <w:style w:type="paragraph" w:styleId="5">
    <w:name w:val="footer"/>
    <w:basedOn w:val="1"/>
    <w:link w:val="13"/>
    <w:qFormat/>
    <w:uiPriority w:val="99"/>
    <w:pPr>
      <w:tabs>
        <w:tab w:val="center" w:pos="4153"/>
        <w:tab w:val="right" w:pos="8306"/>
      </w:tabs>
      <w:snapToGrid w:val="0"/>
      <w:jc w:val="left"/>
    </w:pPr>
    <w:rPr>
      <w:sz w:val="18"/>
      <w:szCs w:val="20"/>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annotation subject"/>
    <w:basedOn w:val="3"/>
    <w:next w:val="3"/>
    <w:link w:val="15"/>
    <w:semiHidden/>
    <w:unhideWhenUsed/>
    <w:qFormat/>
    <w:uiPriority w:val="0"/>
    <w:rPr>
      <w:b/>
      <w:bCs/>
    </w:rPr>
  </w:style>
  <w:style w:type="character" w:styleId="10">
    <w:name w:val="annotation reference"/>
    <w:basedOn w:val="9"/>
    <w:uiPriority w:val="0"/>
    <w:rPr>
      <w:sz w:val="21"/>
      <w:szCs w:val="21"/>
    </w:rPr>
  </w:style>
  <w:style w:type="paragraph" w:customStyle="1" w:styleId="11">
    <w:name w:val="列出段落1"/>
    <w:basedOn w:val="1"/>
    <w:qFormat/>
    <w:uiPriority w:val="34"/>
    <w:pPr>
      <w:ind w:firstLine="420" w:firstLineChars="200"/>
    </w:pPr>
    <w:rPr>
      <w:rFonts w:ascii="Calibri" w:hAnsi="Calibri" w:cs="黑体"/>
      <w:szCs w:val="22"/>
    </w:rPr>
  </w:style>
  <w:style w:type="character" w:customStyle="1" w:styleId="12">
    <w:name w:val="批注框文本 Char"/>
    <w:basedOn w:val="9"/>
    <w:link w:val="4"/>
    <w:semiHidden/>
    <w:qFormat/>
    <w:uiPriority w:val="0"/>
    <w:rPr>
      <w:rFonts w:ascii="Times New Roman" w:hAnsi="Times New Roman" w:eastAsia="宋体" w:cs="Times New Roman"/>
      <w:kern w:val="2"/>
      <w:sz w:val="18"/>
      <w:szCs w:val="18"/>
    </w:rPr>
  </w:style>
  <w:style w:type="character" w:customStyle="1" w:styleId="13">
    <w:name w:val="页脚 Char"/>
    <w:basedOn w:val="9"/>
    <w:link w:val="5"/>
    <w:qFormat/>
    <w:uiPriority w:val="99"/>
    <w:rPr>
      <w:rFonts w:ascii="Times New Roman" w:hAnsi="Times New Roman" w:eastAsia="宋体" w:cs="Times New Roman"/>
      <w:kern w:val="2"/>
      <w:sz w:val="18"/>
    </w:rPr>
  </w:style>
  <w:style w:type="character" w:customStyle="1" w:styleId="14">
    <w:name w:val="批注文字 Char"/>
    <w:basedOn w:val="9"/>
    <w:link w:val="3"/>
    <w:uiPriority w:val="0"/>
    <w:rPr>
      <w:rFonts w:ascii="Times New Roman" w:hAnsi="Times New Roman" w:eastAsia="宋体" w:cs="Times New Roman"/>
      <w:kern w:val="2"/>
      <w:sz w:val="21"/>
      <w:szCs w:val="24"/>
    </w:rPr>
  </w:style>
  <w:style w:type="character" w:customStyle="1" w:styleId="15">
    <w:name w:val="批注主题 Char"/>
    <w:basedOn w:val="14"/>
    <w:link w:val="7"/>
    <w:semiHidden/>
    <w:uiPriority w:val="0"/>
    <w:rPr>
      <w:rFonts w:ascii="Times New Roman" w:hAnsi="Times New Roman" w:eastAsia="宋体" w:cs="Times New Roman"/>
      <w:b/>
      <w:bCs/>
      <w:kern w:val="2"/>
      <w:sz w:val="21"/>
      <w:szCs w:val="24"/>
    </w:rPr>
  </w:style>
  <w:style w:type="paragraph" w:customStyle="1" w:styleId="16">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1516</Words>
  <Characters>1641</Characters>
  <Lines>11</Lines>
  <Paragraphs>3</Paragraphs>
  <TotalTime>11</TotalTime>
  <ScaleCrop>false</ScaleCrop>
  <LinksUpToDate>false</LinksUpToDate>
  <CharactersWithSpaces>1676</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2025-04-07T08:38:00Z</dcterms:created>
  <dc:creator>user</dc:creator>
  <cp:lastModifiedBy>zhuxl</cp:lastModifiedBy>
  <cp:lastPrinted>2025-04-07T07:16:00Z</cp:lastPrinted>
  <dcterms:modified xsi:type="dcterms:W3CDTF">2025-08-26T04:53:03Z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y fmtid="{D5CDD505-2E9C-101B-9397-08002B2CF9AE}" pid="3" name="KSOTemplateDocerSaveRecord">
    <vt:lpwstr>eyJoZGlkIjoiNDI5MmM1NjdiZjkzYmU2ZTMzMzMzYTFkOGY4ZGQ3N2IiLCJ1c2VySWQiOiI5MTI0MTM1NzQifQ==</vt:lpwstr>
  </property>
  <property fmtid="{D5CDD505-2E9C-101B-9397-08002B2CF9AE}" pid="4" name="ICV">
    <vt:lpwstr>D1E7C579421A431F940CE9382CAAC785_13</vt:lpwstr>
  </property>
</Properties>
</file>