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（2024年度）</w:t>
      </w:r>
    </w:p>
    <w:p>
      <w:pPr>
        <w:spacing w:line="240" w:lineRule="exact"/>
        <w:rPr>
          <w:rFonts w:ascii="仿宋_GB2312" w:hAnsi="宋体" w:eastAsia="仿宋_GB2312"/>
          <w:sz w:val="30"/>
          <w:szCs w:val="30"/>
        </w:rPr>
      </w:pPr>
    </w:p>
    <w:tbl>
      <w:tblPr>
        <w:tblStyle w:val="8"/>
        <w:tblW w:w="9336" w:type="dxa"/>
        <w:jc w:val="center"/>
        <w:tblInd w:w="0" w:type="dxa"/>
        <w:tblLayout w:type="fixed"/>
        <w:tblCellMar>
          <w:top w:w="0" w:type="dxa"/>
          <w:left w:w="108" w:type="dxa"/>
          <w:bottom w:w="0" w:type="dxa"/>
          <w:right w:w="108" w:type="dxa"/>
        </w:tblCellMar>
      </w:tblPr>
      <w:tblGrid>
        <w:gridCol w:w="585"/>
        <w:gridCol w:w="975"/>
        <w:gridCol w:w="1105"/>
        <w:gridCol w:w="727"/>
        <w:gridCol w:w="1127"/>
        <w:gridCol w:w="283"/>
        <w:gridCol w:w="693"/>
        <w:gridCol w:w="1090"/>
        <w:gridCol w:w="193"/>
        <w:gridCol w:w="377"/>
        <w:gridCol w:w="327"/>
        <w:gridCol w:w="243"/>
        <w:gridCol w:w="603"/>
        <w:gridCol w:w="1008"/>
      </w:tblGrid>
      <w:tr>
        <w:tblPrEx>
          <w:tblLayout w:type="fixed"/>
          <w:tblCellMar>
            <w:top w:w="0" w:type="dxa"/>
            <w:left w:w="108" w:type="dxa"/>
            <w:bottom w:w="0" w:type="dxa"/>
            <w:right w:w="108" w:type="dxa"/>
          </w:tblCellMar>
        </w:tblPrEx>
        <w:trPr>
          <w:trHeight w:val="51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776"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11000023Y000002062683</w:t>
            </w:r>
            <w:r>
              <w:rPr>
                <w:rFonts w:ascii="仿宋_GB2312" w:hAnsi="宋体" w:eastAsia="仿宋_GB2312" w:cs="宋体"/>
                <w:kern w:val="0"/>
                <w:szCs w:val="21"/>
              </w:rPr>
              <w:t>-</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北京市投资项目在线审批监管平台互联网门户网站运行维护项目</w:t>
            </w:r>
          </w:p>
        </w:tc>
      </w:tr>
      <w:tr>
        <w:tblPrEx>
          <w:tblLayout w:type="fixed"/>
          <w:tblCellMar>
            <w:top w:w="0" w:type="dxa"/>
            <w:left w:w="108" w:type="dxa"/>
            <w:bottom w:w="0" w:type="dxa"/>
            <w:right w:w="108" w:type="dxa"/>
          </w:tblCellMar>
        </w:tblPrEx>
        <w:trPr>
          <w:trHeight w:val="56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393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北京市发展和改革委员会</w:t>
            </w:r>
          </w:p>
        </w:tc>
        <w:tc>
          <w:tcPr>
            <w:tcW w:w="12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55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北京市经济信息中心</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97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2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575"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525.51</w:t>
            </w:r>
          </w:p>
        </w:tc>
        <w:tc>
          <w:tcPr>
            <w:tcW w:w="97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525.51</w:t>
            </w:r>
          </w:p>
        </w:tc>
        <w:tc>
          <w:tcPr>
            <w:tcW w:w="12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524.680667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99.84%</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9.98</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525.51</w:t>
            </w:r>
          </w:p>
        </w:tc>
        <w:tc>
          <w:tcPr>
            <w:tcW w:w="97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525.51</w:t>
            </w:r>
          </w:p>
        </w:tc>
        <w:tc>
          <w:tcPr>
            <w:tcW w:w="12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524.680667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99.84%</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3"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9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84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9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做好北京市投资项目在线审批监管平台互联网门户网站系统的运维工作，确保系统全年安全、稳定运行，申报业务正常开展。 </w:t>
            </w:r>
          </w:p>
        </w:tc>
        <w:tc>
          <w:tcPr>
            <w:tcW w:w="3841"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按时做好系统日常巡检和持续完善工作，系统全年稳定运行，通过系统为市区两级投资审批部门提供事项网上申报功能，为项目单位提供系统应用咨询服务。</w:t>
            </w:r>
          </w:p>
        </w:tc>
      </w:tr>
      <w:tr>
        <w:tblPrEx>
          <w:tblLayout w:type="fixed"/>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69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0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6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0" w:name="OLE_LINK1"/>
            <w:bookmarkStart w:id="1" w:name="OLE_LINK2"/>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bookmarkEnd w:id="0"/>
            <w:bookmarkEnd w:id="1"/>
          </w:p>
        </w:tc>
      </w:tr>
      <w:tr>
        <w:tblPrEx>
          <w:tblLayout w:type="fixed"/>
          <w:tblCellMar>
            <w:top w:w="0" w:type="dxa"/>
            <w:left w:w="108" w:type="dxa"/>
            <w:bottom w:w="0" w:type="dxa"/>
            <w:right w:w="108" w:type="dxa"/>
          </w:tblCellMar>
        </w:tblPrEx>
        <w:trPr>
          <w:trHeight w:val="69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互联网用户无法申报事故次数</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≤5次</w:t>
            </w:r>
          </w:p>
        </w:tc>
        <w:tc>
          <w:tcPr>
            <w:tcW w:w="10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6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42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系统正常运行率</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w:t>
            </w:r>
          </w:p>
        </w:tc>
        <w:tc>
          <w:tcPr>
            <w:tcW w:w="10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611"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9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2024年12月完成运维阶段验收</w:t>
            </w:r>
          </w:p>
        </w:tc>
        <w:tc>
          <w:tcPr>
            <w:tcW w:w="69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r>
              <w:rPr>
                <w:rFonts w:hint="eastAsia" w:ascii="仿宋_GB2312" w:hAnsi="宋体" w:eastAsia="仿宋_GB2312" w:cs="宋体"/>
                <w:kern w:val="0"/>
                <w:szCs w:val="21"/>
              </w:rPr>
              <w:t>100%</w:t>
            </w:r>
          </w:p>
        </w:tc>
        <w:tc>
          <w:tcPr>
            <w:tcW w:w="10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6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284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为我市市区两级做好投资项目审批业务支撑服务，并持续支撑好我市优化营商环境改革政策落地</w:t>
            </w:r>
          </w:p>
        </w:tc>
        <w:tc>
          <w:tcPr>
            <w:tcW w:w="6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Cs w:val="21"/>
                <w:lang w:bidi="ar"/>
              </w:rPr>
              <w:t>定性-优</w:t>
            </w:r>
          </w:p>
        </w:tc>
        <w:tc>
          <w:tcPr>
            <w:tcW w:w="1090" w:type="dxa"/>
            <w:tcBorders>
              <w:top w:val="single" w:color="auto" w:sz="4" w:space="0"/>
              <w:left w:val="nil"/>
              <w:bottom w:val="single" w:color="auto" w:sz="4" w:space="0"/>
              <w:right w:val="single" w:color="auto" w:sz="4" w:space="0"/>
            </w:tcBorders>
            <w:vAlign w:val="center"/>
          </w:tcPr>
          <w:p>
            <w:pPr>
              <w:widowControl/>
              <w:spacing w:line="240" w:lineRule="exact"/>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优，</w:t>
            </w:r>
            <w:r>
              <w:rPr>
                <w:rFonts w:hint="eastAsia" w:ascii="仿宋_GB2312" w:hAnsi="宋体" w:eastAsia="仿宋_GB2312" w:cs="宋体"/>
                <w:color w:val="000000"/>
                <w:kern w:val="0"/>
                <w:szCs w:val="21"/>
              </w:rPr>
              <w:t>为我市投资项目审批业务</w:t>
            </w:r>
            <w:r>
              <w:rPr>
                <w:rFonts w:hint="eastAsia" w:ascii="仿宋_GB2312" w:hAnsi="宋体" w:eastAsia="仿宋_GB2312" w:cs="宋体"/>
                <w:color w:val="000000"/>
                <w:kern w:val="0"/>
                <w:szCs w:val="21"/>
                <w:lang w:eastAsia="zh-CN"/>
              </w:rPr>
              <w:t>提供</w:t>
            </w:r>
            <w:r>
              <w:rPr>
                <w:rFonts w:hint="eastAsia" w:ascii="仿宋_GB2312" w:hAnsi="宋体" w:eastAsia="仿宋_GB2312" w:cs="宋体"/>
                <w:color w:val="000000"/>
                <w:kern w:val="0"/>
                <w:szCs w:val="21"/>
              </w:rPr>
              <w:t>支撑服务，持续支撑</w:t>
            </w:r>
            <w:r>
              <w:rPr>
                <w:rFonts w:hint="eastAsia" w:ascii="仿宋_GB2312" w:hAnsi="宋体" w:eastAsia="仿宋_GB2312" w:cs="宋体"/>
                <w:color w:val="000000"/>
                <w:kern w:val="0"/>
                <w:szCs w:val="21"/>
                <w:lang w:eastAsia="zh-CN"/>
              </w:rPr>
              <w:t>了</w:t>
            </w:r>
            <w:r>
              <w:rPr>
                <w:rFonts w:hint="eastAsia" w:ascii="仿宋_GB2312" w:hAnsi="宋体" w:eastAsia="仿宋_GB2312" w:cs="宋体"/>
                <w:color w:val="000000"/>
                <w:kern w:val="0"/>
                <w:szCs w:val="21"/>
              </w:rPr>
              <w:t>我市优化营商环境改革政策落地</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611"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进一步优化工作机制，及时响应部门需求。</w:t>
            </w:r>
          </w:p>
        </w:tc>
      </w:tr>
      <w:tr>
        <w:tblPrEx>
          <w:tblLayout w:type="fixed"/>
          <w:tblCellMar>
            <w:top w:w="0" w:type="dxa"/>
            <w:left w:w="108" w:type="dxa"/>
            <w:bottom w:w="0" w:type="dxa"/>
            <w:right w:w="108" w:type="dxa"/>
          </w:tblCellMar>
        </w:tblPrEx>
        <w:trPr>
          <w:trHeight w:val="169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投诉率</w:t>
            </w:r>
          </w:p>
        </w:tc>
        <w:tc>
          <w:tcPr>
            <w:tcW w:w="69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6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lang w:val="en-US" w:eastAsia="zh-CN"/>
              </w:rPr>
              <w:t>更加</w:t>
            </w:r>
            <w:r>
              <w:rPr>
                <w:rFonts w:hint="eastAsia" w:ascii="仿宋_GB2312" w:hAnsi="宋体" w:eastAsia="仿宋_GB2312" w:cs="宋体"/>
                <w:kern w:val="0"/>
                <w:szCs w:val="21"/>
                <w:lang w:eastAsia="zh-CN"/>
              </w:rPr>
              <w:t>及时</w:t>
            </w:r>
            <w:r>
              <w:rPr>
                <w:rFonts w:hint="eastAsia" w:ascii="仿宋_GB2312" w:hAnsi="宋体" w:eastAsia="仿宋_GB2312" w:cs="宋体"/>
                <w:kern w:val="0"/>
                <w:szCs w:val="21"/>
                <w:lang w:val="en-US" w:eastAsia="zh-CN"/>
              </w:rPr>
              <w:t>地</w:t>
            </w:r>
            <w:r>
              <w:rPr>
                <w:rFonts w:hint="eastAsia" w:ascii="仿宋_GB2312" w:hAnsi="宋体" w:eastAsia="仿宋_GB2312" w:cs="宋体"/>
                <w:kern w:val="0"/>
                <w:szCs w:val="21"/>
                <w:lang w:eastAsia="zh-CN"/>
              </w:rPr>
              <w:t>响应办理并答复诉求</w:t>
            </w:r>
            <w:bookmarkStart w:id="2" w:name="_GoBack"/>
            <w:bookmarkEnd w:id="2"/>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477" w:hRule="exact"/>
          <w:jc w:val="center"/>
        </w:trPr>
        <w:tc>
          <w:tcPr>
            <w:tcW w:w="6585"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9</w:t>
            </w:r>
            <w:r>
              <w:rPr>
                <w:rFonts w:hint="eastAsia" w:ascii="仿宋_GB2312" w:hAnsi="宋体" w:eastAsia="仿宋_GB2312" w:cs="宋体"/>
                <w:color w:val="000000"/>
                <w:kern w:val="0"/>
                <w:szCs w:val="21"/>
              </w:rPr>
              <w:t>6</w:t>
            </w:r>
            <w:r>
              <w:rPr>
                <w:rFonts w:ascii="仿宋_GB2312" w:hAnsi="宋体" w:eastAsia="仿宋_GB2312" w:cs="宋体"/>
                <w:color w:val="000000"/>
                <w:kern w:val="0"/>
                <w:szCs w:val="21"/>
              </w:rPr>
              <w:t>.98</w:t>
            </w:r>
          </w:p>
        </w:tc>
        <w:tc>
          <w:tcPr>
            <w:tcW w:w="16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widowControl/>
        <w:rPr>
          <w:rFonts w:asciiTheme="minorEastAsia" w:hAnsiTheme="minorEastAsia" w:eastAsiaTheme="minorEastAsia"/>
          <w:sz w:val="28"/>
          <w:szCs w:val="28"/>
        </w:rPr>
      </w:pPr>
    </w:p>
    <w:sectPr>
      <w:footerReference r:id="rId3" w:type="default"/>
      <w:pgSz w:w="11906" w:h="16838"/>
      <w:pgMar w:top="1418" w:right="1474" w:bottom="1134"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9388834"/>
    </w:sdtPr>
    <w:sdtContent>
      <w:p>
        <w:pPr>
          <w:pStyle w:val="5"/>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00043CA1"/>
    <w:rsid w:val="000739F9"/>
    <w:rsid w:val="00073C38"/>
    <w:rsid w:val="00090BD1"/>
    <w:rsid w:val="00136626"/>
    <w:rsid w:val="00146EC8"/>
    <w:rsid w:val="00157994"/>
    <w:rsid w:val="001E4ED7"/>
    <w:rsid w:val="0021026A"/>
    <w:rsid w:val="002318D3"/>
    <w:rsid w:val="00241441"/>
    <w:rsid w:val="002640B1"/>
    <w:rsid w:val="00317603"/>
    <w:rsid w:val="00320C4E"/>
    <w:rsid w:val="003A5C9D"/>
    <w:rsid w:val="003A69B1"/>
    <w:rsid w:val="003B0389"/>
    <w:rsid w:val="003C1D76"/>
    <w:rsid w:val="003C6C50"/>
    <w:rsid w:val="0041240B"/>
    <w:rsid w:val="0044451C"/>
    <w:rsid w:val="00515D2A"/>
    <w:rsid w:val="00551633"/>
    <w:rsid w:val="00573359"/>
    <w:rsid w:val="005839C0"/>
    <w:rsid w:val="00596CB2"/>
    <w:rsid w:val="005A3629"/>
    <w:rsid w:val="005C3F2D"/>
    <w:rsid w:val="00606593"/>
    <w:rsid w:val="00620CD3"/>
    <w:rsid w:val="00656F9F"/>
    <w:rsid w:val="006653F7"/>
    <w:rsid w:val="00697A06"/>
    <w:rsid w:val="006B528B"/>
    <w:rsid w:val="006B6FFB"/>
    <w:rsid w:val="006D0F22"/>
    <w:rsid w:val="0075738F"/>
    <w:rsid w:val="00762EE3"/>
    <w:rsid w:val="00766D60"/>
    <w:rsid w:val="007C31BC"/>
    <w:rsid w:val="007C4300"/>
    <w:rsid w:val="00805CC9"/>
    <w:rsid w:val="00812FD2"/>
    <w:rsid w:val="0082210C"/>
    <w:rsid w:val="008B4620"/>
    <w:rsid w:val="008E3BCA"/>
    <w:rsid w:val="0094401B"/>
    <w:rsid w:val="009D509E"/>
    <w:rsid w:val="009D6611"/>
    <w:rsid w:val="00A17A7C"/>
    <w:rsid w:val="00A20237"/>
    <w:rsid w:val="00A209EC"/>
    <w:rsid w:val="00A25760"/>
    <w:rsid w:val="00A9390C"/>
    <w:rsid w:val="00AA2222"/>
    <w:rsid w:val="00AE41B1"/>
    <w:rsid w:val="00B061E3"/>
    <w:rsid w:val="00B62A57"/>
    <w:rsid w:val="00B82407"/>
    <w:rsid w:val="00B8314A"/>
    <w:rsid w:val="00C85867"/>
    <w:rsid w:val="00CD3931"/>
    <w:rsid w:val="00D723F6"/>
    <w:rsid w:val="00DA1D04"/>
    <w:rsid w:val="00E41355"/>
    <w:rsid w:val="00EC4A53"/>
    <w:rsid w:val="00F22500"/>
    <w:rsid w:val="00F709EF"/>
    <w:rsid w:val="010E3E46"/>
    <w:rsid w:val="028F5F80"/>
    <w:rsid w:val="05500A82"/>
    <w:rsid w:val="0C7C7D58"/>
    <w:rsid w:val="0E2E4E01"/>
    <w:rsid w:val="0EAA61AD"/>
    <w:rsid w:val="14E63396"/>
    <w:rsid w:val="15BA6F35"/>
    <w:rsid w:val="1A9F17A8"/>
    <w:rsid w:val="1F1A16C3"/>
    <w:rsid w:val="2D241AF0"/>
    <w:rsid w:val="33D23C05"/>
    <w:rsid w:val="355A29C5"/>
    <w:rsid w:val="37173543"/>
    <w:rsid w:val="383135BA"/>
    <w:rsid w:val="3B6001A5"/>
    <w:rsid w:val="3E0C54B5"/>
    <w:rsid w:val="3FF76880"/>
    <w:rsid w:val="4C633FD2"/>
    <w:rsid w:val="4E1D0C6E"/>
    <w:rsid w:val="50135C4A"/>
    <w:rsid w:val="5503297F"/>
    <w:rsid w:val="56F051CF"/>
    <w:rsid w:val="61047DED"/>
    <w:rsid w:val="755546EB"/>
    <w:rsid w:val="75BB2498"/>
    <w:rsid w:val="76246D75"/>
    <w:rsid w:val="7AB7FF50"/>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2"/>
    <w:semiHidden/>
    <w:unhideWhenUsed/>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5"/>
    <w:semiHidden/>
    <w:unhideWhenUsed/>
    <w:qFormat/>
    <w:uiPriority w:val="0"/>
    <w:rPr>
      <w:b/>
      <w:bCs/>
    </w:rPr>
  </w:style>
  <w:style w:type="character" w:styleId="10">
    <w:name w:val="annotation reference"/>
    <w:basedOn w:val="9"/>
    <w:qFormat/>
    <w:uiPriority w:val="0"/>
    <w:rPr>
      <w:sz w:val="21"/>
      <w:szCs w:val="21"/>
    </w:rPr>
  </w:style>
  <w:style w:type="paragraph" w:customStyle="1" w:styleId="11">
    <w:name w:val="列出段落1"/>
    <w:basedOn w:val="1"/>
    <w:qFormat/>
    <w:uiPriority w:val="34"/>
    <w:pPr>
      <w:ind w:firstLine="420" w:firstLineChars="200"/>
    </w:pPr>
    <w:rPr>
      <w:rFonts w:ascii="Calibri" w:hAnsi="Calibri" w:cs="黑体"/>
      <w:szCs w:val="22"/>
    </w:rPr>
  </w:style>
  <w:style w:type="character" w:customStyle="1" w:styleId="12">
    <w:name w:val="批注框文本 Char"/>
    <w:basedOn w:val="9"/>
    <w:link w:val="4"/>
    <w:semiHidden/>
    <w:qFormat/>
    <w:uiPriority w:val="0"/>
    <w:rPr>
      <w:rFonts w:ascii="Times New Roman" w:hAnsi="Times New Roman" w:eastAsia="宋体" w:cs="Times New Roman"/>
      <w:kern w:val="2"/>
      <w:sz w:val="18"/>
      <w:szCs w:val="18"/>
    </w:rPr>
  </w:style>
  <w:style w:type="character" w:customStyle="1" w:styleId="13">
    <w:name w:val="页脚 Char"/>
    <w:basedOn w:val="9"/>
    <w:link w:val="5"/>
    <w:qFormat/>
    <w:uiPriority w:val="99"/>
    <w:rPr>
      <w:rFonts w:ascii="Times New Roman" w:hAnsi="Times New Roman" w:eastAsia="宋体" w:cs="Times New Roman"/>
      <w:kern w:val="2"/>
      <w:sz w:val="18"/>
    </w:rPr>
  </w:style>
  <w:style w:type="character" w:customStyle="1" w:styleId="14">
    <w:name w:val="批注文字 Char"/>
    <w:basedOn w:val="9"/>
    <w:link w:val="3"/>
    <w:qFormat/>
    <w:uiPriority w:val="0"/>
    <w:rPr>
      <w:kern w:val="2"/>
      <w:sz w:val="21"/>
      <w:szCs w:val="24"/>
    </w:rPr>
  </w:style>
  <w:style w:type="character" w:customStyle="1" w:styleId="15">
    <w:name w:val="批注主题 Char"/>
    <w:basedOn w:val="14"/>
    <w:link w:val="7"/>
    <w:semiHidden/>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668</Words>
  <Characters>781</Characters>
  <Lines>6</Lines>
  <Paragraphs>1</Paragraphs>
  <TotalTime>9</TotalTime>
  <ScaleCrop>false</ScaleCrop>
  <LinksUpToDate>false</LinksUpToDate>
  <CharactersWithSpaces>814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2024-04-23T02:27:00Z</dcterms:created>
  <dc:creator>user</dc:creator>
  <cp:lastModifiedBy>zhuxl</cp:lastModifiedBy>
  <cp:lastPrinted>2025-04-07T06:59:00Z</cp:lastPrinted>
  <dcterms:modified xsi:type="dcterms:W3CDTF">2025-08-25T10:36:50Z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KSOTemplateDocerSaveRecord">
    <vt:lpwstr>eyJoZGlkIjoiNDI5MmM1NjdiZjkzYmU2ZTMzMzMzYTFkOGY4ZGQ3N2IiLCJ1c2VySWQiOiI5MTI0MTM1NzQifQ==</vt:lpwstr>
  </property>
  <property fmtid="{D5CDD505-2E9C-101B-9397-08002B2CF9AE}" pid="4" name="ICV">
    <vt:lpwstr>CF485B0FFA07402D8B49D07383565978_12</vt:lpwstr>
  </property>
</Properties>
</file>