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jc w:val="center"/>
        <w:rPr>
          <w:rFonts w:ascii="仿宋_GB2312" w:hAnsi="宋体" w:eastAsia="仿宋_GB2312"/>
          <w:sz w:val="28"/>
          <w:szCs w:val="28"/>
        </w:rPr>
      </w:pPr>
      <w:r>
        <w:rPr>
          <w:rFonts w:hint="eastAsia" w:ascii="仿宋_GB2312" w:hAnsi="宋体" w:eastAsia="仿宋_GB2312"/>
          <w:sz w:val="28"/>
          <w:szCs w:val="28"/>
        </w:rPr>
        <w:t>（2024年度）</w:t>
      </w:r>
    </w:p>
    <w:p>
      <w:pPr>
        <w:spacing w:line="240" w:lineRule="exact"/>
        <w:rPr>
          <w:rFonts w:ascii="仿宋_GB2312" w:hAnsi="宋体" w:eastAsia="仿宋_GB2312"/>
          <w:sz w:val="30"/>
          <w:szCs w:val="30"/>
        </w:rPr>
      </w:pPr>
    </w:p>
    <w:tbl>
      <w:tblPr>
        <w:tblStyle w:val="8"/>
        <w:tblW w:w="9266" w:type="dxa"/>
        <w:jc w:val="center"/>
        <w:tblInd w:w="0" w:type="dxa"/>
        <w:tblLayout w:type="fixed"/>
        <w:tblCellMar>
          <w:top w:w="0" w:type="dxa"/>
          <w:left w:w="108" w:type="dxa"/>
          <w:bottom w:w="0" w:type="dxa"/>
          <w:right w:w="108" w:type="dxa"/>
        </w:tblCellMar>
      </w:tblPr>
      <w:tblGrid>
        <w:gridCol w:w="585"/>
        <w:gridCol w:w="975"/>
        <w:gridCol w:w="1105"/>
        <w:gridCol w:w="727"/>
        <w:gridCol w:w="1127"/>
        <w:gridCol w:w="283"/>
        <w:gridCol w:w="1077"/>
        <w:gridCol w:w="848"/>
        <w:gridCol w:w="279"/>
        <w:gridCol w:w="284"/>
        <w:gridCol w:w="420"/>
        <w:gridCol w:w="143"/>
        <w:gridCol w:w="703"/>
        <w:gridCol w:w="710"/>
      </w:tblGrid>
      <w:tr>
        <w:tblPrEx>
          <w:tblLayout w:type="fixed"/>
          <w:tblCellMar>
            <w:top w:w="0" w:type="dxa"/>
            <w:left w:w="108" w:type="dxa"/>
            <w:bottom w:w="0" w:type="dxa"/>
            <w:right w:w="108" w:type="dxa"/>
          </w:tblCellMar>
        </w:tblPrEx>
        <w:trPr>
          <w:trHeight w:val="512"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706"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11000022Y000000429965-北京市重点用能单位能耗数据报送系统运行维护项目</w:t>
            </w:r>
          </w:p>
        </w:tc>
      </w:tr>
      <w:tr>
        <w:tblPrEx>
          <w:tblLayout w:type="fixed"/>
          <w:tblCellMar>
            <w:top w:w="0" w:type="dxa"/>
            <w:left w:w="108" w:type="dxa"/>
            <w:bottom w:w="0" w:type="dxa"/>
            <w:right w:w="108" w:type="dxa"/>
          </w:tblCellMar>
        </w:tblPrEx>
        <w:trPr>
          <w:trHeight w:val="562"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319"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北京市发展和改革委员会</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北京市经济信息中心</w:t>
            </w:r>
          </w:p>
        </w:tc>
      </w:tr>
      <w:tr>
        <w:tblPrEx>
          <w:tblLayout w:type="fixed"/>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36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Layout w:type="fixed"/>
          <w:tblCellMar>
            <w:top w:w="0" w:type="dxa"/>
            <w:left w:w="108" w:type="dxa"/>
            <w:bottom w:w="0" w:type="dxa"/>
            <w:right w:w="108" w:type="dxa"/>
          </w:tblCellMar>
        </w:tblPrEx>
        <w:trPr>
          <w:trHeight w:val="575"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74.77</w:t>
            </w:r>
          </w:p>
        </w:tc>
        <w:tc>
          <w:tcPr>
            <w:tcW w:w="136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74.77</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74.77</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r>
      <w:tr>
        <w:tblPrEx>
          <w:tblLayout w:type="fixed"/>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74.77</w:t>
            </w:r>
          </w:p>
        </w:tc>
        <w:tc>
          <w:tcPr>
            <w:tcW w:w="136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74.77</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74.77</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Layout w:type="fixed"/>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36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Layout w:type="fixed"/>
          <w:tblCellMar>
            <w:top w:w="0" w:type="dxa"/>
            <w:left w:w="108" w:type="dxa"/>
            <w:bottom w:w="0" w:type="dxa"/>
            <w:right w:w="108" w:type="dxa"/>
          </w:tblCellMar>
        </w:tblPrEx>
        <w:trPr>
          <w:trHeight w:val="543"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360"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Layout w:type="fixed"/>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29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Layout w:type="fixed"/>
          <w:tblCellMar>
            <w:top w:w="0" w:type="dxa"/>
            <w:left w:w="108" w:type="dxa"/>
            <w:bottom w:w="0" w:type="dxa"/>
            <w:right w:w="108" w:type="dxa"/>
          </w:tblCellMar>
        </w:tblPrEx>
        <w:trPr>
          <w:trHeight w:val="2967"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529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保证北京市重点用能单位能耗数据报送系统全年正常稳定运行和信息安全，为规范</w:t>
            </w:r>
            <w:r>
              <w:rPr>
                <w:rFonts w:hint="eastAsia" w:ascii="仿宋_GB2312" w:hAnsi="宋体" w:eastAsia="仿宋_GB2312" w:cs="宋体"/>
                <w:kern w:val="0"/>
                <w:szCs w:val="21"/>
                <w:lang w:eastAsia="zh-CN"/>
              </w:rPr>
              <w:t>重点</w:t>
            </w:r>
            <w:r>
              <w:rPr>
                <w:rFonts w:hint="eastAsia" w:ascii="仿宋_GB2312" w:hAnsi="宋体" w:eastAsia="仿宋_GB2312" w:cs="宋体"/>
                <w:kern w:val="0"/>
                <w:szCs w:val="21"/>
              </w:rPr>
              <w:t>用能单位备案、能源利用状况的网上报送、审核，加强</w:t>
            </w:r>
            <w:r>
              <w:rPr>
                <w:rFonts w:hint="eastAsia" w:ascii="仿宋_GB2312" w:hAnsi="宋体" w:eastAsia="仿宋_GB2312" w:cs="宋体"/>
                <w:kern w:val="0"/>
                <w:szCs w:val="21"/>
                <w:lang w:eastAsia="zh-CN"/>
              </w:rPr>
              <w:t>重点</w:t>
            </w:r>
            <w:r>
              <w:rPr>
                <w:rFonts w:hint="eastAsia" w:ascii="仿宋_GB2312" w:hAnsi="宋体" w:eastAsia="仿宋_GB2312" w:cs="宋体"/>
                <w:kern w:val="0"/>
                <w:szCs w:val="21"/>
              </w:rPr>
              <w:t>用能单位能源利用综合分析提供</w:t>
            </w:r>
            <w:r>
              <w:rPr>
                <w:rFonts w:hint="eastAsia" w:ascii="仿宋_GB2312" w:hAnsi="宋体" w:eastAsia="仿宋_GB2312" w:cs="宋体"/>
                <w:kern w:val="0"/>
                <w:szCs w:val="21"/>
                <w:lang w:eastAsia="zh-CN"/>
              </w:rPr>
              <w:t>信息化</w:t>
            </w:r>
            <w:r>
              <w:rPr>
                <w:rFonts w:hint="eastAsia" w:ascii="仿宋_GB2312" w:hAnsi="宋体" w:eastAsia="仿宋_GB2312" w:cs="宋体"/>
                <w:kern w:val="0"/>
                <w:szCs w:val="21"/>
              </w:rPr>
              <w:t>支撑。</w:t>
            </w:r>
          </w:p>
        </w:tc>
        <w:tc>
          <w:tcPr>
            <w:tcW w:w="3387"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保证了北京市重点用能单位能耗数据报送系统稳定运行和信息安全</w:t>
            </w:r>
            <w:r>
              <w:rPr>
                <w:rFonts w:hint="eastAsia" w:ascii="仿宋_GB2312" w:hAnsi="宋体" w:eastAsia="仿宋_GB2312" w:cs="宋体"/>
                <w:kern w:val="0"/>
                <w:szCs w:val="21"/>
                <w:lang w:eastAsia="zh-CN"/>
              </w:rPr>
              <w:t>，</w:t>
            </w:r>
            <w:r>
              <w:rPr>
                <w:rFonts w:hint="eastAsia" w:ascii="仿宋_GB2312" w:hAnsi="宋体" w:eastAsia="仿宋_GB2312" w:cs="宋体"/>
                <w:kern w:val="0"/>
                <w:szCs w:val="21"/>
              </w:rPr>
              <w:t>保障了</w:t>
            </w:r>
            <w:r>
              <w:rPr>
                <w:rFonts w:hint="eastAsia" w:ascii="仿宋_GB2312" w:hAnsi="宋体" w:eastAsia="仿宋_GB2312" w:cs="宋体"/>
                <w:kern w:val="0"/>
                <w:szCs w:val="21"/>
                <w:lang w:eastAsia="zh-CN"/>
              </w:rPr>
              <w:t>重点</w:t>
            </w:r>
            <w:r>
              <w:rPr>
                <w:rFonts w:hint="eastAsia" w:ascii="仿宋_GB2312" w:hAnsi="宋体" w:eastAsia="仿宋_GB2312" w:cs="宋体"/>
                <w:kern w:val="0"/>
                <w:szCs w:val="21"/>
              </w:rPr>
              <w:t>用能单位备案、能源利用状况的网上报送、审核工作的顺利进行</w:t>
            </w:r>
            <w:r>
              <w:rPr>
                <w:rFonts w:hint="eastAsia" w:ascii="仿宋_GB2312" w:hAnsi="宋体" w:eastAsia="仿宋_GB2312" w:cs="宋体"/>
                <w:kern w:val="0"/>
                <w:szCs w:val="21"/>
                <w:lang w:eastAsia="zh-CN"/>
              </w:rPr>
              <w:t>，</w:t>
            </w:r>
            <w:r>
              <w:rPr>
                <w:rFonts w:hint="eastAsia" w:ascii="仿宋_GB2312" w:hAnsi="宋体" w:eastAsia="仿宋_GB2312" w:cs="宋体"/>
                <w:kern w:val="0"/>
                <w:szCs w:val="21"/>
              </w:rPr>
              <w:t>为加强</w:t>
            </w:r>
            <w:r>
              <w:rPr>
                <w:rFonts w:hint="eastAsia" w:ascii="仿宋_GB2312" w:hAnsi="宋体" w:eastAsia="仿宋_GB2312" w:cs="宋体"/>
                <w:kern w:val="0"/>
                <w:szCs w:val="21"/>
                <w:lang w:eastAsia="zh-CN"/>
              </w:rPr>
              <w:t>重点</w:t>
            </w:r>
            <w:r>
              <w:rPr>
                <w:rFonts w:hint="eastAsia" w:ascii="仿宋_GB2312" w:hAnsi="宋体" w:eastAsia="仿宋_GB2312" w:cs="宋体"/>
                <w:kern w:val="0"/>
                <w:szCs w:val="21"/>
              </w:rPr>
              <w:t>用能单位能源利用综合分析提供了</w:t>
            </w:r>
            <w:r>
              <w:rPr>
                <w:rFonts w:hint="eastAsia" w:ascii="仿宋_GB2312" w:hAnsi="宋体" w:eastAsia="仿宋_GB2312" w:cs="宋体"/>
                <w:kern w:val="0"/>
                <w:szCs w:val="21"/>
                <w:lang w:eastAsia="zh-CN"/>
              </w:rPr>
              <w:t>信息化</w:t>
            </w:r>
            <w:r>
              <w:rPr>
                <w:rFonts w:hint="eastAsia" w:ascii="仿宋_GB2312" w:hAnsi="宋体" w:eastAsia="仿宋_GB2312" w:cs="宋体"/>
                <w:kern w:val="0"/>
                <w:szCs w:val="21"/>
              </w:rPr>
              <w:t>支撑。</w:t>
            </w:r>
          </w:p>
        </w:tc>
      </w:tr>
      <w:tr>
        <w:tblPrEx>
          <w:tblLayout w:type="fixed"/>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107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bookmarkStart w:id="0" w:name="OLE_LINK2"/>
            <w:bookmarkStart w:id="1" w:name="OLE_LINK1"/>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bookmarkEnd w:id="0"/>
            <w:bookmarkEnd w:id="1"/>
          </w:p>
        </w:tc>
      </w:tr>
      <w:tr>
        <w:tblPrEx>
          <w:tblLayout w:type="fixed"/>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2137" w:type="dxa"/>
            <w:gridSpan w:val="3"/>
            <w:tcBorders>
              <w:top w:val="single" w:color="auto" w:sz="4" w:space="0"/>
              <w:left w:val="single" w:color="C2C3C4"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形成报告数</w:t>
            </w:r>
          </w:p>
        </w:tc>
        <w:tc>
          <w:tcPr>
            <w:tcW w:w="107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≥16本</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16本</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single" w:color="C2C3C4"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巡检次数</w:t>
            </w:r>
          </w:p>
        </w:tc>
        <w:tc>
          <w:tcPr>
            <w:tcW w:w="107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≥220次</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251次</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2137" w:type="dxa"/>
            <w:gridSpan w:val="3"/>
            <w:tcBorders>
              <w:top w:val="single" w:color="auto" w:sz="4" w:space="0"/>
              <w:left w:val="single" w:color="C2C3C4"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验收合格率</w:t>
            </w:r>
          </w:p>
        </w:tc>
        <w:tc>
          <w:tcPr>
            <w:tcW w:w="107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single" w:color="C2C3C4"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故障响应率</w:t>
            </w:r>
          </w:p>
        </w:tc>
        <w:tc>
          <w:tcPr>
            <w:tcW w:w="1077"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数据准确率</w:t>
            </w:r>
          </w:p>
        </w:tc>
        <w:tc>
          <w:tcPr>
            <w:tcW w:w="107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≥95%</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100</w:t>
            </w:r>
            <w:r>
              <w:rPr>
                <w:rFonts w:hint="eastAsia" w:ascii="仿宋_GB2312" w:hAnsi="宋体" w:eastAsia="仿宋_GB2312" w:cs="宋体"/>
                <w:kern w:val="0"/>
                <w:szCs w:val="21"/>
              </w:rPr>
              <w:t>%</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系统正常运行率</w:t>
            </w:r>
          </w:p>
        </w:tc>
        <w:tc>
          <w:tcPr>
            <w:tcW w:w="107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≥98%</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100</w:t>
            </w:r>
            <w:r>
              <w:rPr>
                <w:rFonts w:hint="eastAsia" w:ascii="仿宋_GB2312" w:hAnsi="宋体" w:eastAsia="仿宋_GB2312" w:cs="宋体"/>
                <w:kern w:val="0"/>
                <w:szCs w:val="21"/>
              </w:rPr>
              <w:t>%</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746"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3月份完成一季度运维工作及一季度运维季报</w:t>
            </w:r>
          </w:p>
        </w:tc>
        <w:tc>
          <w:tcPr>
            <w:tcW w:w="107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=1本</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1本</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764"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6月份完成二季度运维工作及二季度运维季报</w:t>
            </w:r>
          </w:p>
        </w:tc>
        <w:tc>
          <w:tcPr>
            <w:tcW w:w="107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=1本</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1本</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675"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9月份完成三季度运维工作及三季度运维季报</w:t>
            </w:r>
          </w:p>
        </w:tc>
        <w:tc>
          <w:tcPr>
            <w:tcW w:w="107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=1本</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1本</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99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12月份完成四季度运维工作、四季度运维季报及年终的相关总结</w:t>
            </w:r>
          </w:p>
        </w:tc>
        <w:tc>
          <w:tcPr>
            <w:tcW w:w="107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=2本</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2本</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2719"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lang w:eastAsia="zh-CN"/>
              </w:rPr>
              <w:t>为</w:t>
            </w:r>
            <w:r>
              <w:rPr>
                <w:rFonts w:hint="eastAsia" w:ascii="仿宋_GB2312" w:hAnsi="宋体" w:eastAsia="仿宋_GB2312" w:cs="宋体"/>
                <w:color w:val="000000"/>
                <w:kern w:val="0"/>
                <w:szCs w:val="21"/>
              </w:rPr>
              <w:t>重点用能单位报送能源利用状况报告提供信息化支持服务， 为重点用能单位能源利用状况报告审查提供数据支撑</w:t>
            </w:r>
          </w:p>
        </w:tc>
        <w:tc>
          <w:tcPr>
            <w:tcW w:w="107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定性-优</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优，顺利完成1-12月重点用能单位用户报送信息化支持服务工作。</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28</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eastAsia="zh-CN"/>
              </w:rPr>
              <w:t>提高</w:t>
            </w:r>
            <w:r>
              <w:rPr>
                <w:rFonts w:hint="eastAsia" w:ascii="仿宋_GB2312" w:hAnsi="宋体" w:eastAsia="仿宋_GB2312" w:cs="宋体"/>
                <w:kern w:val="0"/>
                <w:szCs w:val="21"/>
              </w:rPr>
              <w:t>填报标准化</w:t>
            </w:r>
            <w:r>
              <w:rPr>
                <w:rFonts w:hint="eastAsia" w:ascii="仿宋_GB2312" w:hAnsi="宋体" w:eastAsia="仿宋_GB2312" w:cs="宋体"/>
                <w:kern w:val="0"/>
                <w:szCs w:val="21"/>
                <w:lang w:eastAsia="zh-CN"/>
              </w:rPr>
              <w:t>水平</w:t>
            </w:r>
            <w:bookmarkStart w:id="2" w:name="_GoBack"/>
            <w:bookmarkEnd w:id="2"/>
            <w:r>
              <w:rPr>
                <w:rFonts w:hint="eastAsia" w:ascii="仿宋_GB2312" w:hAnsi="宋体" w:eastAsia="仿宋_GB2312" w:cs="宋体"/>
                <w:kern w:val="0"/>
                <w:szCs w:val="21"/>
              </w:rPr>
              <w:t>。</w:t>
            </w:r>
          </w:p>
        </w:tc>
      </w:tr>
      <w:tr>
        <w:tblPrEx>
          <w:tblLayout w:type="fixed"/>
          <w:tblCellMar>
            <w:top w:w="0" w:type="dxa"/>
            <w:left w:w="108" w:type="dxa"/>
            <w:bottom w:w="0" w:type="dxa"/>
            <w:right w:w="108" w:type="dxa"/>
          </w:tblCellMar>
        </w:tblPrEx>
        <w:trPr>
          <w:trHeight w:val="77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服务对象满意度指标</w:t>
            </w:r>
          </w:p>
        </w:tc>
        <w:tc>
          <w:tcPr>
            <w:tcW w:w="2137"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用户投诉率</w:t>
            </w:r>
          </w:p>
        </w:tc>
        <w:tc>
          <w:tcPr>
            <w:tcW w:w="107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477" w:hRule="exact"/>
          <w:jc w:val="center"/>
        </w:trPr>
        <w:tc>
          <w:tcPr>
            <w:tcW w:w="6727"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98</w:t>
            </w:r>
          </w:p>
        </w:tc>
        <w:tc>
          <w:tcPr>
            <w:tcW w:w="141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bl>
    <w:p>
      <w:pPr>
        <w:spacing w:line="400" w:lineRule="exact"/>
        <w:rPr>
          <w:rFonts w:asciiTheme="minorEastAsia" w:hAnsiTheme="minorEastAsia" w:eastAsiaTheme="minorEastAsia"/>
          <w:b/>
          <w:sz w:val="24"/>
        </w:rPr>
      </w:pPr>
    </w:p>
    <w:p>
      <w:pPr>
        <w:rPr>
          <w:rFonts w:asciiTheme="minorEastAsia" w:hAnsiTheme="minorEastAsia" w:eastAsiaTheme="minorEastAsia"/>
          <w:sz w:val="28"/>
          <w:szCs w:val="28"/>
        </w:rPr>
      </w:pPr>
    </w:p>
    <w:sectPr>
      <w:footerReference r:id="rId3" w:type="default"/>
      <w:pgSz w:w="11906" w:h="16838"/>
      <w:pgMar w:top="1871" w:right="1474" w:bottom="1418" w:left="153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9388834"/>
    </w:sdtPr>
    <w:sdtContent>
      <w:p>
        <w:pPr>
          <w:pStyle w:val="5"/>
          <w:jc w:val="center"/>
        </w:pPr>
        <w:r>
          <w:fldChar w:fldCharType="begin"/>
        </w:r>
        <w:r>
          <w:instrText xml:space="preserve">PAGE   \* MERGEFORMAT</w:instrText>
        </w:r>
        <w:r>
          <w:fldChar w:fldCharType="separate"/>
        </w:r>
        <w:r>
          <w:rPr>
            <w:lang w:val="zh-CN"/>
          </w:rPr>
          <w:t>-</w:t>
        </w:r>
        <w:r>
          <w:t xml:space="preserve"> 2 -</w:t>
        </w:r>
        <w: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F77F09F4"/>
    <w:rsid w:val="0004051D"/>
    <w:rsid w:val="00043CA1"/>
    <w:rsid w:val="000739F9"/>
    <w:rsid w:val="000A15B5"/>
    <w:rsid w:val="00136626"/>
    <w:rsid w:val="00146EC8"/>
    <w:rsid w:val="0021026A"/>
    <w:rsid w:val="00211D29"/>
    <w:rsid w:val="002318D3"/>
    <w:rsid w:val="002640B1"/>
    <w:rsid w:val="00320C4E"/>
    <w:rsid w:val="003A5C9D"/>
    <w:rsid w:val="003B0389"/>
    <w:rsid w:val="003C1D76"/>
    <w:rsid w:val="003C6C50"/>
    <w:rsid w:val="00430CA7"/>
    <w:rsid w:val="00433B0E"/>
    <w:rsid w:val="0044451C"/>
    <w:rsid w:val="004A5338"/>
    <w:rsid w:val="004E5831"/>
    <w:rsid w:val="00551633"/>
    <w:rsid w:val="005839C0"/>
    <w:rsid w:val="005A3629"/>
    <w:rsid w:val="005C3F2D"/>
    <w:rsid w:val="00606593"/>
    <w:rsid w:val="00620CD3"/>
    <w:rsid w:val="00656F9F"/>
    <w:rsid w:val="006653F7"/>
    <w:rsid w:val="00697A06"/>
    <w:rsid w:val="006B528B"/>
    <w:rsid w:val="006B6FFB"/>
    <w:rsid w:val="006D0F22"/>
    <w:rsid w:val="0075738F"/>
    <w:rsid w:val="00766D60"/>
    <w:rsid w:val="007C31BC"/>
    <w:rsid w:val="007C4300"/>
    <w:rsid w:val="00805CC9"/>
    <w:rsid w:val="00812FD2"/>
    <w:rsid w:val="0082210C"/>
    <w:rsid w:val="0084285B"/>
    <w:rsid w:val="008B4620"/>
    <w:rsid w:val="008E3BCA"/>
    <w:rsid w:val="00925A6C"/>
    <w:rsid w:val="0094401B"/>
    <w:rsid w:val="009D509E"/>
    <w:rsid w:val="00A17A7C"/>
    <w:rsid w:val="00A20237"/>
    <w:rsid w:val="00A209EC"/>
    <w:rsid w:val="00A25760"/>
    <w:rsid w:val="00A9390C"/>
    <w:rsid w:val="00AA2222"/>
    <w:rsid w:val="00B061E3"/>
    <w:rsid w:val="00B62A57"/>
    <w:rsid w:val="00B82407"/>
    <w:rsid w:val="00B8314A"/>
    <w:rsid w:val="00C85867"/>
    <w:rsid w:val="00D21D80"/>
    <w:rsid w:val="00D52C19"/>
    <w:rsid w:val="00D76AE6"/>
    <w:rsid w:val="00DF39B0"/>
    <w:rsid w:val="00E34641"/>
    <w:rsid w:val="00E41355"/>
    <w:rsid w:val="00EA14E6"/>
    <w:rsid w:val="00EC4A53"/>
    <w:rsid w:val="00F22500"/>
    <w:rsid w:val="00F709EF"/>
    <w:rsid w:val="065A6178"/>
    <w:rsid w:val="152E07F6"/>
    <w:rsid w:val="174D7A4B"/>
    <w:rsid w:val="196B791C"/>
    <w:rsid w:val="1B2102F5"/>
    <w:rsid w:val="22976E5A"/>
    <w:rsid w:val="28A407AF"/>
    <w:rsid w:val="305807BF"/>
    <w:rsid w:val="352302FC"/>
    <w:rsid w:val="37173543"/>
    <w:rsid w:val="37A375D1"/>
    <w:rsid w:val="383F0765"/>
    <w:rsid w:val="3A235BF9"/>
    <w:rsid w:val="3C0A5544"/>
    <w:rsid w:val="3EA80B63"/>
    <w:rsid w:val="3FF76880"/>
    <w:rsid w:val="417E7F01"/>
    <w:rsid w:val="41894A20"/>
    <w:rsid w:val="4B6E2018"/>
    <w:rsid w:val="4BEC561F"/>
    <w:rsid w:val="4CB97ED8"/>
    <w:rsid w:val="512461BB"/>
    <w:rsid w:val="55943798"/>
    <w:rsid w:val="6A217EB1"/>
    <w:rsid w:val="6D2E450A"/>
    <w:rsid w:val="715053C6"/>
    <w:rsid w:val="7A060BA9"/>
    <w:rsid w:val="7AB7FF50"/>
    <w:rsid w:val="7BFEB0DB"/>
    <w:rsid w:val="CEFD3F3D"/>
    <w:rsid w:val="EA3F77F2"/>
    <w:rsid w:val="EEFE5989"/>
    <w:rsid w:val="EFCF3EAE"/>
    <w:rsid w:val="F5B764A2"/>
    <w:rsid w:val="F77F09F4"/>
    <w:rsid w:val="FFD7BFFC"/>
    <w:rsid w:val="FFFA6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Balloon Text"/>
    <w:basedOn w:val="1"/>
    <w:link w:val="12"/>
    <w:semiHidden/>
    <w:unhideWhenUsed/>
    <w:qFormat/>
    <w:uiPriority w:val="0"/>
    <w:rPr>
      <w:sz w:val="18"/>
      <w:szCs w:val="18"/>
    </w:rPr>
  </w:style>
  <w:style w:type="paragraph" w:styleId="5">
    <w:name w:val="footer"/>
    <w:basedOn w:val="1"/>
    <w:link w:val="13"/>
    <w:qFormat/>
    <w:uiPriority w:val="99"/>
    <w:pPr>
      <w:tabs>
        <w:tab w:val="center" w:pos="4153"/>
        <w:tab w:val="right" w:pos="8306"/>
      </w:tabs>
      <w:snapToGrid w:val="0"/>
      <w:jc w:val="left"/>
    </w:pPr>
    <w:rPr>
      <w:sz w:val="18"/>
      <w:szCs w:val="20"/>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annotation subject"/>
    <w:basedOn w:val="3"/>
    <w:next w:val="3"/>
    <w:link w:val="15"/>
    <w:semiHidden/>
    <w:unhideWhenUsed/>
    <w:qFormat/>
    <w:uiPriority w:val="0"/>
    <w:rPr>
      <w:b/>
      <w:bCs/>
    </w:rPr>
  </w:style>
  <w:style w:type="character" w:styleId="10">
    <w:name w:val="annotation reference"/>
    <w:basedOn w:val="9"/>
    <w:qFormat/>
    <w:uiPriority w:val="0"/>
    <w:rPr>
      <w:sz w:val="21"/>
      <w:szCs w:val="21"/>
    </w:rPr>
  </w:style>
  <w:style w:type="paragraph" w:customStyle="1" w:styleId="11">
    <w:name w:val="列出段落1"/>
    <w:basedOn w:val="1"/>
    <w:qFormat/>
    <w:uiPriority w:val="34"/>
    <w:pPr>
      <w:ind w:firstLine="420" w:firstLineChars="200"/>
    </w:pPr>
    <w:rPr>
      <w:rFonts w:ascii="Calibri" w:hAnsi="Calibri" w:cs="黑体"/>
      <w:szCs w:val="22"/>
    </w:rPr>
  </w:style>
  <w:style w:type="character" w:customStyle="1" w:styleId="12">
    <w:name w:val="批注框文本 Char"/>
    <w:basedOn w:val="9"/>
    <w:link w:val="4"/>
    <w:semiHidden/>
    <w:qFormat/>
    <w:uiPriority w:val="0"/>
    <w:rPr>
      <w:rFonts w:ascii="Times New Roman" w:hAnsi="Times New Roman" w:eastAsia="宋体" w:cs="Times New Roman"/>
      <w:kern w:val="2"/>
      <w:sz w:val="18"/>
      <w:szCs w:val="18"/>
    </w:rPr>
  </w:style>
  <w:style w:type="character" w:customStyle="1" w:styleId="13">
    <w:name w:val="页脚 Char"/>
    <w:basedOn w:val="9"/>
    <w:link w:val="5"/>
    <w:qFormat/>
    <w:uiPriority w:val="99"/>
    <w:rPr>
      <w:rFonts w:ascii="Times New Roman" w:hAnsi="Times New Roman" w:eastAsia="宋体" w:cs="Times New Roman"/>
      <w:kern w:val="2"/>
      <w:sz w:val="18"/>
    </w:rPr>
  </w:style>
  <w:style w:type="character" w:customStyle="1" w:styleId="14">
    <w:name w:val="批注文字 Char"/>
    <w:basedOn w:val="9"/>
    <w:link w:val="3"/>
    <w:qFormat/>
    <w:uiPriority w:val="0"/>
    <w:rPr>
      <w:rFonts w:ascii="Times New Roman" w:hAnsi="Times New Roman" w:eastAsia="宋体" w:cs="Times New Roman"/>
      <w:kern w:val="2"/>
      <w:sz w:val="21"/>
      <w:szCs w:val="24"/>
    </w:rPr>
  </w:style>
  <w:style w:type="character" w:customStyle="1" w:styleId="15">
    <w:name w:val="批注主题 Char"/>
    <w:basedOn w:val="14"/>
    <w:link w:val="7"/>
    <w:semiHidden/>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Pages>
  <Words>1059</Words>
  <Characters>1162</Characters>
  <Lines>10</Lines>
  <Paragraphs>2</Paragraphs>
  <TotalTime>1</TotalTime>
  <ScaleCrop>false</ScaleCrop>
  <LinksUpToDate>false</LinksUpToDate>
  <CharactersWithSpaces>1296</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2025-04-07T08:35:00Z</dcterms:created>
  <dc:creator>user</dc:creator>
  <cp:lastModifiedBy>zhuxl</cp:lastModifiedBy>
  <cp:lastPrinted>2025-04-07T08:18:00Z</cp:lastPrinted>
  <dcterms:modified xsi:type="dcterms:W3CDTF">2025-08-25T10:34:38Z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y fmtid="{D5CDD505-2E9C-101B-9397-08002B2CF9AE}" pid="3" name="ICV">
    <vt:lpwstr>8D043A0CC1104C5E827BFD8BBB889020_13</vt:lpwstr>
  </property>
  <property fmtid="{D5CDD505-2E9C-101B-9397-08002B2CF9AE}" pid="4" name="KSOTemplateDocerSaveRecord">
    <vt:lpwstr>eyJoZGlkIjoiNDI5MmM1NjdiZjkzYmU2ZTMzMzMzYTFkOGY4ZGQ3N2IiLCJ1c2VySWQiOiI5MTI0MTM1NzQifQ==</vt:lpwstr>
  </property>
</Properties>
</file>